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AAE0" w14:textId="77777777" w:rsidR="0090736A" w:rsidRDefault="00C923A3" w:rsidP="00AD2B7D">
      <w:r>
        <w:rPr>
          <w:noProof/>
        </w:rPr>
        <w:pict w14:anchorId="59992DAF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1pt;margin-top:-41pt;width:702pt;height:36pt;z-index:40;mso-wrap-edited:f" wrapcoords="0 0 21600 0 21600 21600 0 21600 0 0" filled="f" fillcolor="#306099" stroked="f">
            <v:fill o:detectmouseclick="t"/>
            <v:textbox inset=",7.2pt,,7.2pt">
              <w:txbxContent>
                <w:p w14:paraId="7E23139F" w14:textId="77777777" w:rsidR="00C923A3" w:rsidRPr="00F20F0F" w:rsidRDefault="00BE501A" w:rsidP="00C923A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The </w:t>
                  </w:r>
                  <w:r w:rsidR="00C923A3" w:rsidRPr="00F20F0F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Wealth Management Process</w:t>
                  </w:r>
                </w:p>
                <w:p w14:paraId="22B4C4EE" w14:textId="77777777" w:rsidR="00C923A3" w:rsidRDefault="00C923A3"/>
              </w:txbxContent>
            </v:textbox>
            <w10:wrap type="tight"/>
          </v:shape>
        </w:pict>
      </w:r>
      <w:r w:rsidR="006E7744">
        <w:rPr>
          <w:noProof/>
        </w:rPr>
        <w:pict w14:anchorId="647A8656">
          <v:rect id="_x0000_s1042" style="position:absolute;margin-left:11pt;margin-top:-54pt;width:703.5pt;height:58.45pt;z-index:11" fillcolor="#bf8f00" stroked="f" strokecolor="#004785">
            <v:textbox style="mso-next-textbox:#_x0000_s1042" inset="28.8pt,,28.8pt">
              <w:txbxContent>
                <w:p w14:paraId="1FA1B745" w14:textId="77777777" w:rsidR="00F20F0F" w:rsidRPr="00F20F0F" w:rsidRDefault="00F20F0F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E7744">
        <w:rPr>
          <w:noProof/>
        </w:rPr>
        <w:pict w14:anchorId="4B80836F">
          <v:rect id="_x0000_s1027" style="position:absolute;margin-left:11pt;margin-top:-54pt;width:703.5pt;height:522.75pt;z-index:1" strokecolor="#bf8f00"/>
        </w:pict>
      </w:r>
      <w:r w:rsidR="0090736A">
        <w:rPr>
          <w:noProof/>
        </w:rPr>
        <w:pict w14:anchorId="1C3F0C46">
          <v:rect id="_x0000_s1043" style="position:absolute;margin-left:106.5pt;margin-top:11.65pt;width:102.75pt;height:35.25pt;z-index:12" stroked="f" strokecolor="#004785">
            <v:textbox style="mso-next-textbox:#_x0000_s1043">
              <w:txbxContent>
                <w:p w14:paraId="210A376E" w14:textId="77777777" w:rsidR="00F20F0F" w:rsidRPr="0015609A" w:rsidRDefault="00F20F0F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60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>Two weeks</w:t>
                  </w:r>
                </w:p>
              </w:txbxContent>
            </v:textbox>
          </v:rect>
        </w:pict>
      </w:r>
      <w:r w:rsidR="0090736A">
        <w:rPr>
          <w:noProof/>
        </w:rPr>
        <w:pict w14:anchorId="39C68FD4">
          <v:roundrect id="_x0000_s1039" style="position:absolute;margin-left:77.25pt;margin-top:190.15pt;width:156pt;height:97.15pt;z-index:8" arcsize="10923f" fillcolor="#bf8f00" stroked="f">
            <v:textbox style="mso-next-textbox:#_x0000_s1039">
              <w:txbxContent>
                <w:p w14:paraId="4F7CCEE9" w14:textId="77777777" w:rsidR="00F20F0F" w:rsidRPr="00DB1B00" w:rsidRDefault="00F20F0F" w:rsidP="009073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INVESTMENT PLAN AND IPS</w:t>
                  </w:r>
                </w:p>
                <w:p w14:paraId="021A9372" w14:textId="77777777" w:rsidR="00F20F0F" w:rsidRPr="00DB1B00" w:rsidRDefault="00F20F0F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Diagnostic of current situation, our recommendations for moving forward and details on our investing approach</w:t>
                  </w:r>
                </w:p>
                <w:p w14:paraId="509724E0" w14:textId="77777777" w:rsidR="00F20F0F" w:rsidRPr="00DB1B00" w:rsidRDefault="00F20F0F" w:rsidP="0090736A">
                  <w:pPr>
                    <w:rPr>
                      <w:color w:val="FFFFFF"/>
                    </w:rPr>
                  </w:pPr>
                </w:p>
              </w:txbxContent>
            </v:textbox>
          </v:roundrect>
        </w:pict>
      </w:r>
      <w:r w:rsidR="0090736A">
        <w:rPr>
          <w:noProof/>
        </w:rPr>
        <w:pict w14:anchorId="11888CEA">
          <v:roundrect id="_x0000_s1036" style="position:absolute;margin-left:314.95pt;margin-top:50.65pt;width:95.55pt;height:89.25pt;z-index:24" arcsize="10923f" fillcolor="#bf8f00" stroked="f">
            <v:textbox style="mso-next-textbox:#_x0000_s1036">
              <w:txbxContent>
                <w:p w14:paraId="1791C3F8" w14:textId="77777777" w:rsidR="00F20F0F" w:rsidRPr="00DB1B00" w:rsidRDefault="00F20F0F" w:rsidP="009073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MUTUAL COMMITMENT MEETING</w:t>
                  </w:r>
                </w:p>
                <w:p w14:paraId="4E17B58B" w14:textId="77777777" w:rsidR="00F20F0F" w:rsidRPr="00DB1B00" w:rsidRDefault="00F20F0F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Confirmation of commitment</w:t>
                  </w:r>
                </w:p>
              </w:txbxContent>
            </v:textbox>
          </v:roundrect>
        </w:pict>
      </w:r>
      <w:r w:rsidR="0090736A">
        <w:rPr>
          <w:noProof/>
        </w:rPr>
        <w:pict w14:anchorId="3E9298C4">
          <v:roundrect id="_x0000_s1035" style="position:absolute;margin-left:180.7pt;margin-top:50.65pt;width:94.05pt;height:89.25pt;z-index:23" arcsize="10923f" fillcolor="#bf8f00" stroked="f">
            <v:textbox style="mso-next-textbox:#_x0000_s1035">
              <w:txbxContent>
                <w:p w14:paraId="53427E16" w14:textId="77777777" w:rsidR="00F20F0F" w:rsidRPr="00DB1B00" w:rsidRDefault="00F20F0F" w:rsidP="009073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INVESTMENT PLAN MEETING</w:t>
                  </w:r>
                </w:p>
                <w:p w14:paraId="38EBE53D" w14:textId="77777777" w:rsidR="00F20F0F" w:rsidRPr="00DB1B00" w:rsidRDefault="00F20F0F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Presentation of investment plan</w:t>
                  </w:r>
                </w:p>
                <w:p w14:paraId="4CC6276E" w14:textId="77777777" w:rsidR="00F20F0F" w:rsidRPr="00E14535" w:rsidRDefault="00F20F0F" w:rsidP="0090736A"/>
              </w:txbxContent>
            </v:textbox>
          </v:roundrect>
        </w:pict>
      </w:r>
      <w:r w:rsidR="0090736A">
        <w:rPr>
          <w:noProof/>
        </w:rPr>
        <w:pict w14:anchorId="18FB740B">
          <v:roundrect id="_x0000_s1034" style="position:absolute;margin-left:45.75pt;margin-top:50.65pt;width:94.75pt;height:89.25pt;z-index:27" arcsize="10923f" fillcolor="#bf8f00" stroked="f">
            <v:textbox style="mso-next-textbox:#_x0000_s1034">
              <w:txbxContent>
                <w:p w14:paraId="7D5AACEA" w14:textId="77777777" w:rsidR="00F20F0F" w:rsidRPr="00DB1B00" w:rsidRDefault="00F20F0F" w:rsidP="00463B9F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DISCOVERY MEETING</w:t>
                  </w:r>
                </w:p>
                <w:p w14:paraId="1AA88220" w14:textId="77777777" w:rsidR="00F20F0F" w:rsidRPr="00DB1B00" w:rsidRDefault="00F20F0F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Complete discovery process</w:t>
                  </w:r>
                </w:p>
              </w:txbxContent>
            </v:textbox>
          </v:roundrect>
        </w:pict>
      </w:r>
      <w:r w:rsidR="0090736A">
        <w:rPr>
          <w:noProof/>
        </w:rPr>
        <w:pict w14:anchorId="019F7F80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192.7pt;margin-top:159.45pt;width:126.8pt;height:86.2pt;rotation:-26463378fd;z-index:4" fillcolor="#a5a5a5" stroked="f"/>
        </w:pict>
      </w:r>
      <w:r w:rsidR="0090736A">
        <w:rPr>
          <w:noProof/>
        </w:rPr>
        <w:pict w14:anchorId="5EEAF923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24.75pt;margin-top:109.65pt;width:50.25pt;height:139.75pt;z-index:3" fillcolor="#a5a5a5" stroked="f"/>
        </w:pict>
      </w:r>
      <w:r w:rsidR="0090736A">
        <w:rPr>
          <w:noProof/>
        </w:rPr>
        <w:pict w14:anchorId="776490EC">
          <v:rect id="_x0000_s1046" style="position:absolute;margin-left:514.1pt;margin-top:11.65pt;width:102.75pt;height:35.25pt;z-index:15" stroked="f" strokecolor="#004785">
            <v:textbox style="mso-next-textbox:#_x0000_s1046">
              <w:txbxContent>
                <w:p w14:paraId="5D03F253" w14:textId="77777777" w:rsidR="00F20F0F" w:rsidRPr="0015609A" w:rsidRDefault="00F20F0F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609A">
                    <w:rPr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90 d</w:t>
                  </w:r>
                  <w:r w:rsidRPr="001560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ays</w:t>
                  </w:r>
                </w:p>
              </w:txbxContent>
            </v:textbox>
          </v:rect>
        </w:pict>
      </w:r>
      <w:r w:rsidR="0090736A">
        <w:rPr>
          <w:noProof/>
        </w:rPr>
        <w:pict w14:anchorId="6818B7E6">
          <v:rect id="_x0000_s1045" style="position:absolute;margin-left:377.45pt;margin-top:11.65pt;width:102.75pt;height:35.25pt;z-index:14" stroked="f" strokecolor="#004785">
            <v:textbox style="mso-next-textbox:#_x0000_s1045">
              <w:txbxContent>
                <w:p w14:paraId="34D01F60" w14:textId="77777777" w:rsidR="00F20F0F" w:rsidRPr="0015609A" w:rsidRDefault="00F20F0F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609A">
                    <w:rPr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45 d</w:t>
                  </w:r>
                  <w:r w:rsidRPr="001560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ays</w:t>
                  </w:r>
                </w:p>
              </w:txbxContent>
            </v:textbox>
          </v:rect>
        </w:pict>
      </w:r>
      <w:r w:rsidR="0090736A">
        <w:rPr>
          <w:noProof/>
        </w:rPr>
        <w:pict w14:anchorId="1753F0A9">
          <v:rect id="_x0000_s1044" style="position:absolute;margin-left:239.25pt;margin-top:11.65pt;width:102.75pt;height:35.25pt;z-index:13" stroked="f" strokecolor="#004785">
            <v:textbox style="mso-next-textbox:#_x0000_s1044">
              <w:txbxContent>
                <w:p w14:paraId="3E79DE91" w14:textId="77777777" w:rsidR="00F20F0F" w:rsidRPr="0015609A" w:rsidRDefault="00F20F0F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>One w</w:t>
                  </w:r>
                  <w:r w:rsidRPr="001560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eek</w:t>
                  </w:r>
                </w:p>
              </w:txbxContent>
            </v:textbox>
          </v:rect>
        </w:pict>
      </w:r>
    </w:p>
    <w:p w14:paraId="3C012DAA" w14:textId="77777777" w:rsidR="0090736A" w:rsidRDefault="00EF5D13" w:rsidP="00AD2B7D">
      <w:r>
        <w:rPr>
          <w:noProof/>
        </w:rPr>
        <w:pict w14:anchorId="0A4451C6">
          <v:roundrect id="_x0000_s1038" style="position:absolute;margin-left:588.5pt;margin-top:24.95pt;width:106.55pt;height:89.25pt;z-index:26" arcsize="10923f" fillcolor="#bf8f00" stroked="f">
            <v:textbox style="mso-next-textbox:#_x0000_s1038" inset="0,0,0,0">
              <w:txbxContent>
                <w:p w14:paraId="4051F63B" w14:textId="77777777" w:rsidR="00F20F0F" w:rsidRPr="00DB1B00" w:rsidRDefault="00F20F0F" w:rsidP="004770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B1B0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REGULAR PROGRESS</w:t>
                  </w:r>
                  <w:r w:rsidRPr="00DB1B0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br/>
                    <w:t>MEETINGS</w:t>
                  </w:r>
                  <w:r w:rsidRPr="00DB1B00"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br/>
                  </w:r>
                  <w:r w:rsidRPr="00DB1B00">
                    <w:rPr>
                      <w:color w:val="FFFFFF"/>
                      <w:sz w:val="14"/>
                      <w:szCs w:val="14"/>
                    </w:rPr>
                    <w:br/>
                  </w:r>
                  <w:r w:rsidRPr="00DB1B0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Review of progress and implementation of advanced plan</w:t>
                  </w:r>
                </w:p>
              </w:txbxContent>
            </v:textbox>
          </v:roundrect>
        </w:pict>
      </w:r>
    </w:p>
    <w:p w14:paraId="1441A7E1" w14:textId="77777777" w:rsidR="0090736A" w:rsidRDefault="002034A8" w:rsidP="00AD2B7D">
      <w:r>
        <w:rPr>
          <w:noProof/>
        </w:rPr>
        <w:pict w14:anchorId="7A01CC41">
          <v:roundrect id="_x0000_s1037" style="position:absolute;margin-left:451pt;margin-top:.7pt;width:101.3pt;height:89.25pt;z-index:25" arcsize="10923f" fillcolor="#bf8f00" stroked="f">
            <v:textbox style="mso-next-textbox:#_x0000_s1037">
              <w:txbxContent>
                <w:p w14:paraId="360BCF8D" w14:textId="77777777" w:rsidR="00F20F0F" w:rsidRPr="002034A8" w:rsidRDefault="00F20F0F" w:rsidP="004770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34A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45-DAY</w:t>
                  </w:r>
                  <w:r w:rsidR="003D718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br/>
                  </w:r>
                  <w:r w:rsidRPr="002034A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FOLLOW-UP MEETING</w:t>
                  </w:r>
                </w:p>
                <w:p w14:paraId="7E263434" w14:textId="77777777" w:rsidR="00F20F0F" w:rsidRPr="00463B9F" w:rsidRDefault="00F20F0F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3B9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Organization of account paperwork</w:t>
                  </w:r>
                </w:p>
                <w:p w14:paraId="1AADA2E2" w14:textId="77777777" w:rsidR="00F20F0F" w:rsidRPr="00E14535" w:rsidRDefault="00F20F0F" w:rsidP="0090736A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oundrect>
        </w:pict>
      </w:r>
    </w:p>
    <w:p w14:paraId="35D22367" w14:textId="77777777" w:rsidR="0090736A" w:rsidRDefault="006E7744" w:rsidP="00AD2B7D">
      <w:bookmarkStart w:id="0" w:name="_GoBack"/>
      <w:bookmarkEnd w:id="0"/>
      <w:r>
        <w:rPr>
          <w:noProof/>
        </w:rPr>
        <w:pict w14:anchorId="3205C3B7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401.5pt;margin-top:4.65pt;width:48.55pt;height:28.8pt;z-index:21" fillcolor="#a5a5a5" stroked="f"/>
        </w:pict>
      </w:r>
      <w:r w:rsidR="005D3E5C">
        <w:rPr>
          <w:noProof/>
        </w:rPr>
        <w:pict w14:anchorId="2231FEC0">
          <v:shape id="_x0000_s1063" type="#_x0000_t13" style="position:absolute;margin-left:264.5pt;margin-top:4.5pt;width:48.55pt;height:28.8pt;z-index:20" fillcolor="#a5a5a5" stroked="f"/>
        </w:pict>
      </w:r>
      <w:r w:rsidR="005D3E5C">
        <w:rPr>
          <w:noProof/>
        </w:rPr>
        <w:pict w14:anchorId="7306D939">
          <v:shape id="_x0000_s1065" type="#_x0000_t13" style="position:absolute;margin-left:537.9pt;margin-top:4.5pt;width:48.55pt;height:28.8pt;z-index:22" fillcolor="#a5a5a5" stroked="f"/>
        </w:pict>
      </w:r>
      <w:r w:rsidR="005D3E5C">
        <w:rPr>
          <w:noProof/>
        </w:rPr>
        <w:pict w14:anchorId="68C858DD">
          <v:shape id="_x0000_s1062" type="#_x0000_t13" style="position:absolute;margin-left:130.25pt;margin-top:4.5pt;width:48.55pt;height:28.8pt;z-index:19" fillcolor="#a5a5a5" stroked="f"/>
        </w:pict>
      </w:r>
    </w:p>
    <w:p w14:paraId="59A4F6E4" w14:textId="77777777" w:rsidR="0090736A" w:rsidRDefault="002034A8" w:rsidP="00AD2B7D">
      <w:r>
        <w:rPr>
          <w:noProof/>
        </w:rPr>
        <w:pict w14:anchorId="69060B8C">
          <v:shape id="_x0000_s1031" type="#_x0000_t102" style="position:absolute;margin-left:354pt;margin-top:7.9pt;width:50.25pt;height:139.75pt;z-index:5" fillcolor="#a5a5a5" stroked="f"/>
        </w:pict>
      </w:r>
    </w:p>
    <w:p w14:paraId="28A065D1" w14:textId="77777777" w:rsidR="0090736A" w:rsidRDefault="0090736A" w:rsidP="00AD2B7D"/>
    <w:p w14:paraId="2C6EC65D" w14:textId="77777777" w:rsidR="0090736A" w:rsidRDefault="002034A8" w:rsidP="00AD2B7D">
      <w:r>
        <w:rPr>
          <w:noProof/>
        </w:rPr>
        <w:pict w14:anchorId="27F5DDF7">
          <v:shape id="_x0000_s1032" type="#_x0000_t104" style="position:absolute;margin-left:551.5pt;margin-top:6.8pt;width:126.8pt;height:86.2pt;rotation:-26110348fd;z-index:6" fillcolor="#a5a5a5" stroked="f"/>
        </w:pict>
      </w:r>
    </w:p>
    <w:p w14:paraId="30BCA38B" w14:textId="77777777" w:rsidR="0090736A" w:rsidRDefault="0090736A" w:rsidP="00AD2B7D">
      <w:r>
        <w:rPr>
          <w:noProof/>
        </w:rPr>
        <w:pict w14:anchorId="1E5119FC">
          <v:roundrect id="_x0000_s1047" style="position:absolute;margin-left:407.95pt;margin-top:10.65pt;width:169.5pt;height:100.15pt;z-index:16" arcsize="10923f" fillcolor="#bf8f00" stroked="f">
            <v:textbox style="mso-next-textbox:#_x0000_s1047">
              <w:txbxContent>
                <w:p w14:paraId="668A528A" w14:textId="77777777" w:rsidR="00F20F0F" w:rsidRPr="008C0A9D" w:rsidRDefault="00F20F0F" w:rsidP="009073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C0A9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THE ADVANCED PLAN</w:t>
                  </w:r>
                </w:p>
                <w:p w14:paraId="638D5604" w14:textId="77777777" w:rsidR="00F20F0F" w:rsidRPr="008C0A9D" w:rsidRDefault="00F20F0F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C0A9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Comprehensive evaluation of the entire range of financial needs with our recommendations for </w:t>
                  </w:r>
                  <w:r w:rsidRPr="008C0A9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moving forward</w:t>
                  </w:r>
                </w:p>
                <w:p w14:paraId="4029C825" w14:textId="77777777" w:rsidR="00F20F0F" w:rsidRDefault="00F20F0F" w:rsidP="0090736A"/>
              </w:txbxContent>
            </v:textbox>
          </v:roundrect>
        </w:pict>
      </w:r>
    </w:p>
    <w:p w14:paraId="4FDAE975" w14:textId="77777777" w:rsidR="0090736A" w:rsidRDefault="0090736A" w:rsidP="00AD2B7D"/>
    <w:p w14:paraId="1C3AFECE" w14:textId="77777777" w:rsidR="0090736A" w:rsidRDefault="0090736A" w:rsidP="00AD2B7D"/>
    <w:p w14:paraId="1E4DDB63" w14:textId="77777777" w:rsidR="0090736A" w:rsidRDefault="0090736A" w:rsidP="00AD2B7D"/>
    <w:p w14:paraId="2BE6216F" w14:textId="77777777" w:rsidR="0090736A" w:rsidRDefault="002034A8" w:rsidP="00AD2B7D">
      <w:r>
        <w:rPr>
          <w:noProof/>
        </w:rPr>
        <w:pict w14:anchorId="285E9670">
          <v:shape id="_x0000_s1028" type="#_x0000_t13" style="position:absolute;margin-left:449.25pt;margin-top:41.5pt;width:87.7pt;height:28.8pt;rotation:-90;z-index:2" fillcolor="#a5a5a5" stroked="f"/>
        </w:pict>
      </w:r>
      <w:r>
        <w:rPr>
          <w:noProof/>
        </w:rPr>
        <w:pict w14:anchorId="4FBE21E0">
          <v:roundrect id="_x0000_s1040" style="position:absolute;margin-left:189pt;margin-top:57.3pt;width:156pt;height:106.5pt;z-index:9" arcsize="10923f" fillcolor="#bf8f00" stroked="f">
            <v:textbox style="mso-next-textbox:#_x0000_s1040">
              <w:txbxContent>
                <w:p w14:paraId="1E4E486A" w14:textId="77777777" w:rsidR="00F20F0F" w:rsidRPr="008C0A9D" w:rsidRDefault="00F20F0F" w:rsidP="009073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C0A9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THE PROFESSIONAL </w:t>
                  </w:r>
                  <w:r w:rsidRPr="008C0A9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br/>
                    <w:t>NETWORK</w:t>
                  </w:r>
                </w:p>
                <w:p w14:paraId="3C3CD7E9" w14:textId="77777777" w:rsidR="00F20F0F" w:rsidRPr="008C0A9D" w:rsidRDefault="00F20F0F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C0A9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Team of carefully selected professionals, each with a high level of knowledge and skill in key financial areas</w:t>
                  </w:r>
                </w:p>
                <w:p w14:paraId="0533D17A" w14:textId="77777777" w:rsidR="00F20F0F" w:rsidRDefault="00F20F0F" w:rsidP="0090736A"/>
              </w:txbxContent>
            </v:textbox>
          </v:roundrect>
        </w:pict>
      </w:r>
      <w:r>
        <w:rPr>
          <w:noProof/>
        </w:rPr>
        <w:pict w14:anchorId="4C266A63">
          <v:shape id="_x0000_s1033" type="#_x0000_t13" style="position:absolute;margin-left:308.25pt;margin-top:96.5pt;width:87.7pt;height:28.8pt;z-index:7" fillcolor="#a5a5a5" stroked="f"/>
        </w:pict>
      </w:r>
    </w:p>
    <w:p w14:paraId="369D6934" w14:textId="77777777" w:rsidR="0090736A" w:rsidRDefault="0090736A" w:rsidP="00AD2B7D"/>
    <w:p w14:paraId="4FD9CD7A" w14:textId="77777777" w:rsidR="0090736A" w:rsidRDefault="00EC3652" w:rsidP="00AD2B7D">
      <w:r>
        <w:rPr>
          <w:noProof/>
        </w:rPr>
        <w:pict w14:anchorId="78CC33E6">
          <v:roundrect id="_x0000_s1041" style="position:absolute;margin-left:396pt;margin-top:2.25pt;width:192.7pt;height:111.75pt;z-index:10" arcsize="10923f" fillcolor="#bf8f00" stroked="f">
            <v:textbox style="mso-next-textbox:#_x0000_s1041">
              <w:txbxContent>
                <w:p w14:paraId="53A237AE" w14:textId="77777777" w:rsidR="00F20F0F" w:rsidRPr="0015609A" w:rsidRDefault="00F20F0F" w:rsidP="009073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PROFESSIONAL</w:t>
                  </w:r>
                  <w:r w:rsidRPr="0015609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Pr="0015609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br/>
                    <w:t>NETWORK MEETING</w:t>
                  </w:r>
                </w:p>
                <w:p w14:paraId="113EE31C" w14:textId="77777777" w:rsidR="00F20F0F" w:rsidRPr="0015609A" w:rsidRDefault="00F20F0F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5609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Our team of specialist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s</w:t>
                  </w:r>
                  <w:r w:rsidRPr="0015609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applies its expertise to evaluate all aspects of your financial situation and devise </w:t>
                  </w:r>
                  <w:r w:rsidRPr="0015609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appropriate solutions</w:t>
                  </w:r>
                </w:p>
                <w:p w14:paraId="349B54EE" w14:textId="77777777" w:rsidR="00F20F0F" w:rsidRPr="0015609A" w:rsidRDefault="00F20F0F" w:rsidP="0090736A">
                  <w:pPr>
                    <w:rPr>
                      <w:color w:val="FFFFFF"/>
                    </w:rPr>
                  </w:pPr>
                </w:p>
              </w:txbxContent>
            </v:textbox>
          </v:roundrect>
        </w:pict>
      </w:r>
    </w:p>
    <w:p w14:paraId="71AC9623" w14:textId="77777777" w:rsidR="0090736A" w:rsidRDefault="0090736A" w:rsidP="00AD2B7D"/>
    <w:p w14:paraId="0508AE3C" w14:textId="77777777" w:rsidR="0090736A" w:rsidRDefault="0090736A" w:rsidP="00AD2B7D">
      <w:pPr>
        <w:sectPr w:rsidR="0090736A" w:rsidSect="00C533D2">
          <w:footerReference w:type="default" r:id="rId7"/>
          <w:pgSz w:w="15840" w:h="12240" w:orient="landscape"/>
          <w:pgMar w:top="1440" w:right="720" w:bottom="1440" w:left="720" w:header="720" w:footer="495" w:gutter="0"/>
          <w:cols w:space="720"/>
          <w:docGrid w:linePitch="360"/>
        </w:sectPr>
      </w:pPr>
    </w:p>
    <w:p w14:paraId="3910EE77" w14:textId="77777777" w:rsidR="00D05560" w:rsidRDefault="00C923A3" w:rsidP="00AD2B7D">
      <w:r>
        <w:rPr>
          <w:noProof/>
        </w:rPr>
        <w:lastRenderedPageBreak/>
        <w:pict w14:anchorId="4CEFF9E3">
          <v:roundrect id="_x0000_s1075" style="position:absolute;margin-left:284pt;margin-top:452pt;width:182.55pt;height:122.25pt;z-index:37" arcsize="10923f" fillcolor="#bf8f00" stroked="f">
            <v:textbox style="mso-next-textbox:#_x0000_s1075">
              <w:txbxContent>
                <w:p w14:paraId="56BC3E78" w14:textId="77777777" w:rsidR="00F20F0F" w:rsidRPr="00C923A3" w:rsidRDefault="00F20F0F" w:rsidP="00C923A3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/>
                      <w:sz w:val="10"/>
                      <w:szCs w:val="10"/>
                    </w:rPr>
                  </w:pP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RM (Relationship Management) =</w:t>
                  </w:r>
                  <w:r w:rsidRPr="00C923A3">
                    <w:rPr>
                      <w:rFonts w:ascii="Arial" w:hAnsi="Arial" w:cs="Arial"/>
                      <w:b/>
                      <w:color w:val="FFFFFF"/>
                      <w:sz w:val="10"/>
                      <w:szCs w:val="10"/>
                    </w:rPr>
                    <w:t xml:space="preserve"> </w:t>
                  </w:r>
                  <w:r w:rsidR="00C923A3">
                    <w:rPr>
                      <w:rFonts w:ascii="Arial" w:hAnsi="Arial" w:cs="Arial"/>
                      <w:b/>
                      <w:color w:val="FFFFFF"/>
                      <w:sz w:val="10"/>
                      <w:szCs w:val="1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CRM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 xml:space="preserve">(Client Relationship Management) </w:t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br/>
                    <w:t>+</w:t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br/>
                    <w:t xml:space="preserve">PNRM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(Professional Network Relationship Management)</w:t>
                  </w:r>
                </w:p>
              </w:txbxContent>
            </v:textbox>
          </v:roundrect>
        </w:pict>
      </w:r>
      <w:r>
        <w:rPr>
          <w:noProof/>
        </w:rPr>
        <w:pict w14:anchorId="2D5252B5">
          <v:shape id="_x0000_s1076" type="#_x0000_t13" style="position:absolute;margin-left:336.8pt;margin-top:397.5pt;width:74.65pt;height:31.7pt;rotation:90;z-index:38" fillcolor="#a5a5a5" stroked="f"/>
        </w:pict>
      </w:r>
      <w:r>
        <w:rPr>
          <w:noProof/>
        </w:rPr>
        <w:pict w14:anchorId="4A3BAA0B">
          <v:roundrect id="_x0000_s1077" style="position:absolute;margin-left:291.85pt;margin-top:334pt;width:166.8pt;height:47.7pt;z-index:39" arcsize="10923f" fillcolor="#bf8f00" stroked="f">
            <v:textbox style="mso-next-textbox:#_x0000_s1077">
              <w:txbxContent>
                <w:p w14:paraId="627B1537" w14:textId="77777777" w:rsidR="00F20F0F" w:rsidRPr="00566AAC" w:rsidRDefault="00F20F0F" w:rsidP="00E83EF2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566AAC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RM = CRM + PNRM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color w:val="FFFFFF"/>
          <w:sz w:val="24"/>
          <w:szCs w:val="24"/>
        </w:rPr>
        <w:pict w14:anchorId="6DF73BFD">
          <v:shape id="_x0000_s1082" type="#_x0000_t202" style="position:absolute;margin-left:-34pt;margin-top:19pt;width:539pt;height:36pt;z-index:41;mso-wrap-edited:f" wrapcoords="0 0 21600 0 21600 21600 0 21600 0 0" filled="f" fillcolor="#306099" stroked="f">
            <v:fill o:detectmouseclick="t"/>
            <v:textbox inset=",7.2pt,,7.2pt">
              <w:txbxContent>
                <w:p w14:paraId="6F2AA48B" w14:textId="77777777" w:rsidR="00C923A3" w:rsidRPr="00C923A3" w:rsidRDefault="00BE501A" w:rsidP="00C923A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The </w:t>
                  </w:r>
                  <w:r w:rsidR="00C923A3" w:rsidRPr="00C923A3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Wealth Management Formula</w:t>
                  </w:r>
                </w:p>
              </w:txbxContent>
            </v:textbox>
            <w10:wrap type="tight"/>
          </v:shape>
        </w:pict>
      </w:r>
      <w:r w:rsidRPr="004305DF">
        <w:rPr>
          <w:rFonts w:ascii="Arial" w:hAnsi="Arial" w:cs="Arial"/>
          <w:b/>
          <w:color w:val="FFFFFF"/>
          <w:sz w:val="24"/>
          <w:szCs w:val="24"/>
        </w:rPr>
        <w:t>Wealth Management Formula</w:t>
      </w:r>
      <w:r>
        <w:rPr>
          <w:noProof/>
        </w:rPr>
        <w:pict w14:anchorId="40C54A80">
          <v:rect id="_x0000_s1054" style="position:absolute;margin-left:-33.75pt;margin-top:6.5pt;width:540pt;height:58.3pt;z-index:18;mso-position-horizontal-relative:text;mso-position-vertical-relative:text" fillcolor="#bf8f00" strokecolor="#bf8f00">
            <v:textbox style="mso-next-textbox:#_x0000_s1054">
              <w:txbxContent>
                <w:p w14:paraId="1C41A3B9" w14:textId="77777777" w:rsidR="00F20F0F" w:rsidRPr="004305DF" w:rsidRDefault="00F20F0F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br/>
                  </w:r>
                </w:p>
              </w:txbxContent>
            </v:textbox>
          </v:rect>
        </w:pict>
      </w:r>
      <w:r w:rsidR="00F20F0F">
        <w:rPr>
          <w:noProof/>
        </w:rPr>
        <w:pict w14:anchorId="6BC7F86C">
          <v:shape id="_x0000_s1066" type="#_x0000_t13" style="position:absolute;margin-left:72.85pt;margin-top:359.05pt;width:62.2pt;height:33.1pt;rotation:90;z-index:28;mso-position-horizontal-relative:text;mso-position-vertical-relative:text" fillcolor="#a5a5a5" stroked="f"/>
        </w:pict>
      </w:r>
      <w:r w:rsidR="00BC7DF2">
        <w:rPr>
          <w:noProof/>
        </w:rPr>
        <w:pict w14:anchorId="719244F6">
          <v:roundrect id="_x0000_s1070" style="position:absolute;margin-left:294pt;margin-top:79pt;width:165.8pt;height:48.25pt;z-index:32;mso-position-horizontal-relative:text;mso-position-vertical-relative:text" arcsize="10923f" fillcolor="#bf8f00" stroked="f">
            <v:textbox style="mso-next-textbox:#_x0000_s1070" inset="1.44pt,8.64pt,1.44pt,1.44pt">
              <w:txbxContent>
                <w:p w14:paraId="3E7B772E" w14:textId="77777777" w:rsidR="00F20F0F" w:rsidRPr="00566AAC" w:rsidRDefault="00F20F0F" w:rsidP="00E83EF2">
                  <w:pPr>
                    <w:jc w:val="center"/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566AAC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IC = INVESTMENT CONSULTING</w:t>
                  </w:r>
                </w:p>
                <w:p w14:paraId="219801DF" w14:textId="77777777" w:rsidR="00F20F0F" w:rsidRPr="00E14535" w:rsidRDefault="00F20F0F" w:rsidP="00E83EF2"/>
              </w:txbxContent>
            </v:textbox>
          </v:roundrect>
        </w:pict>
      </w:r>
      <w:r w:rsidR="00BC7DF2">
        <w:rPr>
          <w:noProof/>
        </w:rPr>
        <w:pict w14:anchorId="136C89C8">
          <v:shape id="_x0000_s1067" type="#_x0000_t13" style="position:absolute;margin-left:338.2pt;margin-top:108.3pt;width:78.8pt;height:32.2pt;rotation:90;z-index:29;mso-position-horizontal-relative:text;mso-position-vertical-relative:text" fillcolor="#a5a5a5" stroked="f"/>
        </w:pict>
      </w:r>
      <w:r w:rsidR="00BC7DF2">
        <w:rPr>
          <w:noProof/>
        </w:rPr>
        <w:pict w14:anchorId="45EE6D3C">
          <v:roundrect id="_x0000_s1072" style="position:absolute;margin-left:272pt;margin-top:164pt;width:212pt;height:148.35pt;z-index:34;mso-position-horizontal-relative:text;mso-position-vertical-relative:text" arcsize="10923f" fillcolor="#bf8f00" stroked="f">
            <v:textbox style="mso-next-textbox:#_x0000_s1072">
              <w:txbxContent>
                <w:p w14:paraId="2B1F7F72" w14:textId="77777777" w:rsidR="00F20F0F" w:rsidRPr="00594D90" w:rsidRDefault="00F20F0F" w:rsidP="00985BBB">
                  <w:pPr>
                    <w:pStyle w:val="ColorfulList-Accent1"/>
                    <w:ind w:left="0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Management of all investment elements to maximize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the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probability of clients achieving all that is important to them. </w:t>
                  </w:r>
                </w:p>
                <w:p w14:paraId="726909DC" w14:textId="77777777" w:rsidR="00F20F0F" w:rsidRPr="00E9294D" w:rsidRDefault="00F20F0F" w:rsidP="00985BBB">
                  <w:pPr>
                    <w:pStyle w:val="ColorfulList-Accent1"/>
                    <w:ind w:left="0"/>
                    <w:rPr>
                      <w:rFonts w:ascii="Arial" w:hAnsi="Arial" w:cs="Arial"/>
                      <w:b/>
                      <w:color w:val="FFFFFF"/>
                      <w:sz w:val="12"/>
                      <w:szCs w:val="12"/>
                    </w:rPr>
                  </w:pPr>
                </w:p>
                <w:p w14:paraId="42AC27C5" w14:textId="77777777" w:rsidR="00F20F0F" w:rsidRPr="00594D90" w:rsidRDefault="00F20F0F" w:rsidP="00E9294D">
                  <w:pPr>
                    <w:pStyle w:val="ColorfulList-Accent1"/>
                    <w:ind w:left="0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• 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Portfolio performance analysis</w:t>
                  </w:r>
                </w:p>
                <w:p w14:paraId="617E8B4E" w14:textId="77777777" w:rsidR="00F20F0F" w:rsidRPr="00594D90" w:rsidRDefault="00F20F0F" w:rsidP="00E9294D">
                  <w:pPr>
                    <w:pStyle w:val="ColorfulList-Accent1"/>
                    <w:ind w:left="0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• 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Risk evaluation</w:t>
                  </w:r>
                </w:p>
                <w:p w14:paraId="4EB307E7" w14:textId="77777777" w:rsidR="00F20F0F" w:rsidRPr="00594D90" w:rsidRDefault="00F20F0F" w:rsidP="00E9294D">
                  <w:pPr>
                    <w:pStyle w:val="ColorfulList-Accent1"/>
                    <w:ind w:left="0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• 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Asset allocation</w:t>
                  </w:r>
                </w:p>
                <w:p w14:paraId="4542F738" w14:textId="77777777" w:rsidR="00F20F0F" w:rsidRPr="00594D90" w:rsidRDefault="00F20F0F" w:rsidP="00E9294D">
                  <w:pPr>
                    <w:pStyle w:val="ColorfulList-Accent1"/>
                    <w:ind w:left="0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• 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Assessment of impact of costs</w:t>
                  </w:r>
                </w:p>
                <w:p w14:paraId="3512F211" w14:textId="77777777" w:rsidR="00F20F0F" w:rsidRPr="00594D90" w:rsidRDefault="00F20F0F" w:rsidP="00E9294D">
                  <w:pPr>
                    <w:pStyle w:val="ColorfulList-Accent1"/>
                    <w:ind w:left="0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• 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Assessment </w:t>
                  </w:r>
                  <w:r w:rsidR="009A39BC"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of impact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of taxes</w:t>
                  </w:r>
                </w:p>
                <w:p w14:paraId="32DD3E08" w14:textId="77777777" w:rsidR="00F20F0F" w:rsidRPr="00594D90" w:rsidRDefault="00F20F0F" w:rsidP="00E9294D">
                  <w:pPr>
                    <w:pStyle w:val="ColorfulList-Accent1"/>
                    <w:ind w:left="0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• 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Investment policy statement </w:t>
                  </w:r>
                </w:p>
                <w:p w14:paraId="6CA19A29" w14:textId="77777777" w:rsidR="00F20F0F" w:rsidRPr="004305DF" w:rsidRDefault="00F20F0F" w:rsidP="00985BBB">
                  <w:pPr>
                    <w:pStyle w:val="ColorfulList-Accent1"/>
                    <w:ind w:left="0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</w:p>
                <w:p w14:paraId="0EA40E42" w14:textId="77777777" w:rsidR="00F20F0F" w:rsidRPr="00E14535" w:rsidRDefault="00F20F0F" w:rsidP="00E83EF2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oundrect>
        </w:pict>
      </w:r>
      <w:r w:rsidR="00BC7DF2">
        <w:rPr>
          <w:noProof/>
        </w:rPr>
        <w:pict w14:anchorId="66E17DBF">
          <v:roundrect id="_x0000_s1074" style="position:absolute;margin-left:3pt;margin-top:407pt;width:199.55pt;height:252.75pt;z-index:36;mso-position-horizontal-relative:text;mso-position-vertical-relative:text" arcsize="10923f" fillcolor="#bf8f00" stroked="f">
            <v:textbox style="mso-next-textbox:#_x0000_s1074" inset="0,1.44pt,0,1.44pt">
              <w:txbxContent>
                <w:p w14:paraId="5DED3546" w14:textId="77777777" w:rsidR="00F20F0F" w:rsidRPr="00594D90" w:rsidRDefault="00F20F0F" w:rsidP="002034A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AP (Advanced Planning) = </w:t>
                  </w:r>
                </w:p>
                <w:p w14:paraId="7021A90D" w14:textId="77777777" w:rsidR="00F20F0F" w:rsidRPr="00594D90" w:rsidRDefault="00F20F0F" w:rsidP="004770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WE</w:t>
                  </w:r>
                </w:p>
                <w:p w14:paraId="565F43C5" w14:textId="77777777" w:rsidR="00F20F0F" w:rsidRPr="00594D90" w:rsidRDefault="00F20F0F" w:rsidP="004770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(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Wealth Enhancement: tax mitigation and cash-flow planning)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+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WT</w:t>
                  </w:r>
                </w:p>
                <w:p w14:paraId="1FB7B3B6" w14:textId="77777777" w:rsidR="00F20F0F" w:rsidRPr="00594D90" w:rsidRDefault="00F20F0F" w:rsidP="004770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(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Wealth Transfer: transferring wealth effectively; may not be within a family)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+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WP</w:t>
                  </w:r>
                </w:p>
                <w:p w14:paraId="65760A1B" w14:textId="77777777" w:rsidR="00F20F0F" w:rsidRPr="00594D90" w:rsidRDefault="00F20F0F" w:rsidP="004770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(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Wealth Protection: risk mitigation, legal structures and transferring risk to insurance company)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+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CG</w:t>
                  </w:r>
                </w:p>
                <w:p w14:paraId="7C6EA876" w14:textId="77777777" w:rsidR="00F20F0F" w:rsidRPr="00594D90" w:rsidRDefault="00F20F0F" w:rsidP="00E83EF2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(Charitable Giving: maximizing charitable impact)</w:t>
                  </w:r>
                </w:p>
                <w:p w14:paraId="3C41C455" w14:textId="77777777" w:rsidR="00F20F0F" w:rsidRPr="000A6C34" w:rsidRDefault="00F20F0F" w:rsidP="00E83E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="00E9294D">
        <w:rPr>
          <w:noProof/>
        </w:rPr>
        <w:pict w14:anchorId="73A1F840">
          <v:roundrect id="_x0000_s1071" style="position:absolute;margin-left:15.5pt;margin-top:167.05pt;width:178.55pt;height:139.6pt;z-index:33;mso-position-horizontal-relative:text;mso-position-vertical-relative:text" arcsize="10923f" fillcolor="#bf8f00" stroked="f">
            <v:textbox style="mso-next-textbox:#_x0000_s1071" inset="1.44pt,1.44pt,1.44pt,1.44pt">
              <w:txbxContent>
                <w:p w14:paraId="58B2CAA7" w14:textId="77777777" w:rsidR="00F20F0F" w:rsidRPr="00594D90" w:rsidRDefault="00F20F0F" w:rsidP="002034A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WM (Wealth Management) = </w:t>
                  </w:r>
                </w:p>
                <w:p w14:paraId="5E1552D7" w14:textId="77777777" w:rsidR="00F20F0F" w:rsidRPr="00594D90" w:rsidRDefault="00F20F0F" w:rsidP="00E83EF2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IC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 xml:space="preserve"> (Investment Consulting)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+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AP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 xml:space="preserve">(Advanced Planning)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+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</w:r>
                  <w:r w:rsidRPr="00594D90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RM </w:t>
                  </w:r>
                  <w:r w:rsidRPr="00594D9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br/>
                    <w:t>(Relationship Management)</w:t>
                  </w:r>
                </w:p>
                <w:p w14:paraId="7317EAB4" w14:textId="77777777" w:rsidR="00F20F0F" w:rsidRPr="00E14535" w:rsidRDefault="00F20F0F" w:rsidP="00E83EF2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oundrect>
        </w:pict>
      </w:r>
      <w:r w:rsidR="00E9294D">
        <w:rPr>
          <w:noProof/>
        </w:rPr>
        <w:pict w14:anchorId="27BDB6B9">
          <v:shape id="_x0000_s1068" type="#_x0000_t13" style="position:absolute;margin-left:64.15pt;margin-top:109.75pt;width:82.55pt;height:31.1pt;rotation:90;z-index:30;mso-position-horizontal-relative:text;mso-position-vertical-relative:text" fillcolor="#a5a5a5" stroked="f"/>
        </w:pict>
      </w:r>
      <w:r w:rsidR="00E9294D">
        <w:rPr>
          <w:noProof/>
        </w:rPr>
        <w:pict w14:anchorId="34179A45">
          <v:roundrect id="_x0000_s1069" style="position:absolute;margin-left:23.9pt;margin-top:79.75pt;width:168.8pt;height:48.25pt;z-index:31;mso-position-horizontal-relative:text;mso-position-vertical-relative:text" arcsize="10923f" fillcolor="#bf8f00" stroked="f">
            <v:textbox style="mso-next-textbox:#_x0000_s1069" inset="10.8pt,10.8pt,10.8pt,10.8pt">
              <w:txbxContent>
                <w:p w14:paraId="00AF646C" w14:textId="77777777" w:rsidR="00F20F0F" w:rsidRPr="008C0A9D" w:rsidRDefault="00F20F0F" w:rsidP="00E83EF2">
                  <w:pPr>
                    <w:spacing w:before="120"/>
                    <w:jc w:val="center"/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 w:rsidRPr="008C0A9D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WM = IC + AP + RM</w:t>
                  </w:r>
                </w:p>
                <w:p w14:paraId="63AC2F37" w14:textId="77777777" w:rsidR="00F20F0F" w:rsidRPr="00E14535" w:rsidRDefault="00F20F0F" w:rsidP="00E83EF2"/>
              </w:txbxContent>
            </v:textbox>
          </v:roundrect>
        </w:pict>
      </w:r>
      <w:r w:rsidR="00E9294D">
        <w:rPr>
          <w:noProof/>
        </w:rPr>
        <w:pict w14:anchorId="0886125A">
          <v:rect id="_x0000_s1048" style="position:absolute;margin-left:-33.75pt;margin-top:7pt;width:540pt;height:664.35pt;z-index:17;mso-position-horizontal-relative:text;mso-position-vertical-relative:text" strokecolor="#bf8f00">
            <v:textbox>
              <w:txbxContent/>
            </v:textbox>
          </v:rect>
        </w:pict>
      </w:r>
      <w:r w:rsidR="00594D90">
        <w:rPr>
          <w:noProof/>
        </w:rPr>
        <w:pict w14:anchorId="1A7AAC89">
          <v:roundrect id="_x0000_s1073" style="position:absolute;margin-left:19.9pt;margin-top:333.45pt;width:169.8pt;height:48.7pt;z-index:35;mso-position-horizontal-relative:text;mso-position-vertical-relative:text" arcsize="10923f" fillcolor="#bf8f00" stroked="f">
            <v:textbox style="mso-next-textbox:#_x0000_s1048">
              <w:txbxContent>
                <w:p w14:paraId="08B88E2C" w14:textId="77777777" w:rsidR="00F20F0F" w:rsidRPr="008C0A9D" w:rsidRDefault="00F20F0F" w:rsidP="00E83EF2">
                  <w:pPr>
                    <w:jc w:val="center"/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8C0A9D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AP = WE + WT +WP + CG</w:t>
                  </w:r>
                </w:p>
                <w:p w14:paraId="2B32F518" w14:textId="77777777" w:rsidR="00F20F0F" w:rsidRPr="00E14535" w:rsidRDefault="00F20F0F" w:rsidP="00E83EF2"/>
              </w:txbxContent>
            </v:textbox>
          </v:roundrect>
        </w:pict>
      </w:r>
    </w:p>
    <w:sectPr w:rsidR="00D05560" w:rsidSect="0090736A">
      <w:pgSz w:w="12240" w:h="15840"/>
      <w:pgMar w:top="720" w:right="144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A186" w14:textId="77777777" w:rsidR="008C0A9D" w:rsidRDefault="008C0A9D" w:rsidP="00E14535">
      <w:pPr>
        <w:spacing w:after="0" w:line="240" w:lineRule="auto"/>
      </w:pPr>
      <w:r>
        <w:separator/>
      </w:r>
    </w:p>
  </w:endnote>
  <w:endnote w:type="continuationSeparator" w:id="0">
    <w:p w14:paraId="4DB3810A" w14:textId="77777777" w:rsidR="008C0A9D" w:rsidRDefault="008C0A9D" w:rsidP="00E1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BDCA" w14:textId="77777777" w:rsidR="00F20F0F" w:rsidRPr="007B6CB2" w:rsidRDefault="00F20F0F" w:rsidP="00E14535">
    <w:pPr>
      <w:pStyle w:val="Footer"/>
      <w:rPr>
        <w:rFonts w:ascii="Arial" w:hAnsi="Arial" w:cs="Arial"/>
        <w:i/>
        <w:sz w:val="20"/>
        <w:szCs w:val="20"/>
      </w:rPr>
    </w:pPr>
    <w:r w:rsidRPr="007B6CB2">
      <w:rPr>
        <w:rFonts w:ascii="Arial" w:hAnsi="Arial" w:cs="Arial"/>
        <w:i/>
        <w:sz w:val="20"/>
        <w:szCs w:val="20"/>
      </w:rPr>
      <w:t>Double click to insert logo and disclaimer</w:t>
    </w:r>
  </w:p>
  <w:p w14:paraId="225FD0B1" w14:textId="77777777" w:rsidR="00F20F0F" w:rsidRDefault="00F2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EAAE" w14:textId="77777777" w:rsidR="008C0A9D" w:rsidRDefault="008C0A9D" w:rsidP="00E14535">
      <w:pPr>
        <w:spacing w:after="0" w:line="240" w:lineRule="auto"/>
      </w:pPr>
      <w:r>
        <w:separator/>
      </w:r>
    </w:p>
  </w:footnote>
  <w:footnote w:type="continuationSeparator" w:id="0">
    <w:p w14:paraId="5A132147" w14:textId="77777777" w:rsidR="008C0A9D" w:rsidRDefault="008C0A9D" w:rsidP="00E1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C41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3E86"/>
    <w:multiLevelType w:val="hybridMultilevel"/>
    <w:tmpl w:val="95D6D9F0"/>
    <w:lvl w:ilvl="0" w:tplc="44AE4A5A">
      <w:start w:val="1"/>
      <w:numFmt w:val="bullet"/>
      <w:lvlText w:val=""/>
      <w:lvlJc w:val="left"/>
      <w:pPr>
        <w:tabs>
          <w:tab w:val="num" w:pos="43"/>
        </w:tabs>
        <w:ind w:left="43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C02C6"/>
    <w:multiLevelType w:val="hybridMultilevel"/>
    <w:tmpl w:val="28E6715A"/>
    <w:lvl w:ilvl="0" w:tplc="FE3844A0">
      <w:start w:val="1"/>
      <w:numFmt w:val="bullet"/>
      <w:lvlText w:val=""/>
      <w:lvlJc w:val="left"/>
      <w:pPr>
        <w:tabs>
          <w:tab w:val="num" w:pos="43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C29D9"/>
    <w:multiLevelType w:val="hybridMultilevel"/>
    <w:tmpl w:val="50CE8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866D7"/>
    <w:multiLevelType w:val="multilevel"/>
    <w:tmpl w:val="FA5E6F3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65825"/>
    <w:multiLevelType w:val="hybridMultilevel"/>
    <w:tmpl w:val="78306C0C"/>
    <w:lvl w:ilvl="0" w:tplc="6354049E">
      <w:start w:val="1"/>
      <w:numFmt w:val="bullet"/>
      <w:lvlText w:val=""/>
      <w:lvlJc w:val="left"/>
      <w:pPr>
        <w:tabs>
          <w:tab w:val="num" w:pos="14"/>
        </w:tabs>
        <w:ind w:left="14" w:hanging="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6F60"/>
    <w:multiLevelType w:val="hybridMultilevel"/>
    <w:tmpl w:val="FA5E6F32"/>
    <w:lvl w:ilvl="0" w:tplc="3C10A24C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45D75"/>
    <w:multiLevelType w:val="multilevel"/>
    <w:tmpl w:val="50CE88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75A8F"/>
    <w:multiLevelType w:val="multilevel"/>
    <w:tmpl w:val="95D6D9F0"/>
    <w:lvl w:ilvl="0">
      <w:start w:val="1"/>
      <w:numFmt w:val="bullet"/>
      <w:lvlText w:val=""/>
      <w:lvlJc w:val="left"/>
      <w:pPr>
        <w:tabs>
          <w:tab w:val="num" w:pos="43"/>
        </w:tabs>
        <w:ind w:left="43" w:hanging="4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F3932"/>
    <w:multiLevelType w:val="hybridMultilevel"/>
    <w:tmpl w:val="0A06E514"/>
    <w:lvl w:ilvl="0" w:tplc="6354049E">
      <w:start w:val="1"/>
      <w:numFmt w:val="bullet"/>
      <w:lvlText w:val=""/>
      <w:lvlJc w:val="left"/>
      <w:pPr>
        <w:tabs>
          <w:tab w:val="num" w:pos="14"/>
        </w:tabs>
        <w:ind w:left="14" w:hanging="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30A1F"/>
    <w:multiLevelType w:val="multilevel"/>
    <w:tmpl w:val="28E6715A"/>
    <w:lvl w:ilvl="0">
      <w:start w:val="1"/>
      <w:numFmt w:val="bullet"/>
      <w:lvlText w:val=""/>
      <w:lvlJc w:val="left"/>
      <w:pPr>
        <w:tabs>
          <w:tab w:val="num" w:pos="43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913610"/>
    <w:multiLevelType w:val="multilevel"/>
    <w:tmpl w:val="50CE88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720"/>
  <w:characterSpacingControl w:val="doNotCompress"/>
  <w:hdrShapeDefaults>
    <o:shapedefaults v:ext="edit" spidmax="2049" fillcolor="#306099">
      <v:fill color="#306099"/>
      <o:colormru v:ext="edit" colors="#4f081d,#631027,#5873b6,maroon,#27247b,#324167,#364795,#8a99c2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74A"/>
    <w:rsid w:val="00124CD8"/>
    <w:rsid w:val="0015609A"/>
    <w:rsid w:val="00181FCD"/>
    <w:rsid w:val="00195D79"/>
    <w:rsid w:val="002034A8"/>
    <w:rsid w:val="002338E3"/>
    <w:rsid w:val="00285C0B"/>
    <w:rsid w:val="002B02D2"/>
    <w:rsid w:val="002D56B1"/>
    <w:rsid w:val="0035224C"/>
    <w:rsid w:val="00366972"/>
    <w:rsid w:val="00391CEF"/>
    <w:rsid w:val="003C2905"/>
    <w:rsid w:val="003D718A"/>
    <w:rsid w:val="004061DF"/>
    <w:rsid w:val="00463B9F"/>
    <w:rsid w:val="00477021"/>
    <w:rsid w:val="004A134A"/>
    <w:rsid w:val="004A3F7E"/>
    <w:rsid w:val="004F79E9"/>
    <w:rsid w:val="00510445"/>
    <w:rsid w:val="0053385E"/>
    <w:rsid w:val="00566AAC"/>
    <w:rsid w:val="00594D90"/>
    <w:rsid w:val="005D3E5C"/>
    <w:rsid w:val="005D76A5"/>
    <w:rsid w:val="00614764"/>
    <w:rsid w:val="00630D9C"/>
    <w:rsid w:val="006E7744"/>
    <w:rsid w:val="0078574A"/>
    <w:rsid w:val="0082099A"/>
    <w:rsid w:val="0089583B"/>
    <w:rsid w:val="008C0171"/>
    <w:rsid w:val="008C0A9D"/>
    <w:rsid w:val="008F7A68"/>
    <w:rsid w:val="0090736A"/>
    <w:rsid w:val="00926996"/>
    <w:rsid w:val="00952B71"/>
    <w:rsid w:val="00980065"/>
    <w:rsid w:val="00985BBB"/>
    <w:rsid w:val="009A39BC"/>
    <w:rsid w:val="009E33EB"/>
    <w:rsid w:val="009E6E85"/>
    <w:rsid w:val="00A7596D"/>
    <w:rsid w:val="00AC7301"/>
    <w:rsid w:val="00AD2B7D"/>
    <w:rsid w:val="00B91D51"/>
    <w:rsid w:val="00BA481C"/>
    <w:rsid w:val="00BC7DF2"/>
    <w:rsid w:val="00BE501A"/>
    <w:rsid w:val="00BF6024"/>
    <w:rsid w:val="00C136EA"/>
    <w:rsid w:val="00C139AA"/>
    <w:rsid w:val="00C533D2"/>
    <w:rsid w:val="00C5507A"/>
    <w:rsid w:val="00C923A3"/>
    <w:rsid w:val="00CE07B9"/>
    <w:rsid w:val="00CE096A"/>
    <w:rsid w:val="00CF09DF"/>
    <w:rsid w:val="00D05560"/>
    <w:rsid w:val="00D165B5"/>
    <w:rsid w:val="00D316F4"/>
    <w:rsid w:val="00D573F4"/>
    <w:rsid w:val="00DB1B00"/>
    <w:rsid w:val="00DB4EA9"/>
    <w:rsid w:val="00DC235D"/>
    <w:rsid w:val="00E14535"/>
    <w:rsid w:val="00E270CF"/>
    <w:rsid w:val="00E40DE2"/>
    <w:rsid w:val="00E83EF2"/>
    <w:rsid w:val="00E9294D"/>
    <w:rsid w:val="00EB4910"/>
    <w:rsid w:val="00EC3652"/>
    <w:rsid w:val="00EF5D13"/>
    <w:rsid w:val="00F20F0F"/>
    <w:rsid w:val="00F24622"/>
    <w:rsid w:val="00F57B32"/>
    <w:rsid w:val="00F718C3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06099">
      <v:fill color="#306099"/>
      <o:colormru v:ext="edit" colors="#4f081d,#631027,#5873b6,maroon,#27247b,#324167,#364795,#8a99c2"/>
    </o:shapedefaults>
    <o:shapelayout v:ext="edit">
      <o:idmap v:ext="edit" data="1"/>
    </o:shapelayout>
  </w:shapeDefaults>
  <w:decimalSymbol w:val="."/>
  <w:listSeparator w:val=","/>
  <w14:docId w14:val="1FF144B7"/>
  <w15:chartTrackingRefBased/>
  <w15:docId w15:val="{854A6E21-65BC-43C8-9D7D-68B9711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5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35"/>
  </w:style>
  <w:style w:type="paragraph" w:styleId="Footer">
    <w:name w:val="footer"/>
    <w:basedOn w:val="Normal"/>
    <w:link w:val="FooterChar"/>
    <w:uiPriority w:val="99"/>
    <w:unhideWhenUsed/>
    <w:rsid w:val="00E1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35"/>
  </w:style>
  <w:style w:type="paragraph" w:styleId="BalloonText">
    <w:name w:val="Balloon Text"/>
    <w:basedOn w:val="Normal"/>
    <w:link w:val="BalloonTextChar"/>
    <w:uiPriority w:val="99"/>
    <w:semiHidden/>
    <w:unhideWhenUsed/>
    <w:rsid w:val="00C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3D2"/>
    <w:rPr>
      <w:rFonts w:ascii="Tahoma" w:hAnsi="Tahoma" w:cs="Tahoma"/>
      <w:sz w:val="16"/>
      <w:szCs w:val="16"/>
    </w:rPr>
  </w:style>
  <w:style w:type="paragraph" w:styleId="MediumGrid2">
    <w:name w:val="Medium Grid 2"/>
    <w:link w:val="MediumGrid2Char"/>
    <w:uiPriority w:val="1"/>
    <w:qFormat/>
    <w:rsid w:val="003C2905"/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"/>
    <w:uiPriority w:val="1"/>
    <w:rsid w:val="003C2905"/>
    <w:rPr>
      <w:rFonts w:eastAsia="Times New Roman"/>
      <w:sz w:val="22"/>
      <w:szCs w:val="22"/>
      <w:lang w:val="en-US" w:eastAsia="en-US" w:bidi="ar-SA"/>
    </w:rPr>
  </w:style>
  <w:style w:type="paragraph" w:styleId="ColorfulList-Accent1">
    <w:name w:val="Colorful List Accent 1"/>
    <w:basedOn w:val="Normal"/>
    <w:uiPriority w:val="34"/>
    <w:qFormat/>
    <w:rsid w:val="0090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Wealth Management Process and Formula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Wealth Management Process and Formula</dc:title>
  <dc:subject/>
  <dc:creator>CEG Worldwide, LLC</dc:creator>
  <cp:keywords/>
  <dc:description/>
  <cp:lastModifiedBy>Katie Soden</cp:lastModifiedBy>
  <cp:revision>3</cp:revision>
  <cp:lastPrinted>2015-12-22T18:25:00Z</cp:lastPrinted>
  <dcterms:created xsi:type="dcterms:W3CDTF">2019-09-13T20:27:00Z</dcterms:created>
  <dcterms:modified xsi:type="dcterms:W3CDTF">2019-09-13T20:35:00Z</dcterms:modified>
  <cp:category/>
  <cp:contentStatus>Final 0815</cp:contentStatus>
</cp:coreProperties>
</file>